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23.12.2019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9" w:right="5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4"/>
              <w:ind w:left="30" w:right="39"/>
              <w:rPr>
                <w:sz w:val="17"/>
              </w:rPr>
            </w:pPr>
            <w:r>
              <w:rPr>
                <w:sz w:val="17"/>
              </w:rPr>
              <w:t>Про схвалення проекту рішення сесії Мелітопольської міської ради Запорізької області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«Про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рішення 45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сесії Мелітопольської міської ради VII скликання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від 07.12.2018 № 4/4 «Про міський бюджет на</w:t>
            </w:r>
          </w:p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2019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рік»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6" w:right="1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261/1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23/12/2019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 w:before="4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Проект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рішення </w:t>
            </w:r>
            <w:r>
              <w:rPr>
                <w:spacing w:val="-2"/>
                <w:sz w:val="17"/>
              </w:rPr>
              <w:t>сесії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-2"/>
                <w:sz w:val="17"/>
              </w:rPr>
              <w:t> записка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4"/>
              <w:ind w:left="30" w:right="39"/>
              <w:rPr>
                <w:sz w:val="17"/>
              </w:rPr>
            </w:pPr>
            <w:r>
              <w:rPr>
                <w:sz w:val="17"/>
              </w:rPr>
              <w:t>Про схвалення проекту рішення сесії Мелітопольської міської ради Запорізької області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«Про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рішення 52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сесії Мелітопольської міської ради VII скликання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від 18.11.2019 № 8/1 «Про місцевий бюджет м. Мелітополя на 2020 рік (2310700000)»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6" w:right="1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261/2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23/12/2019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 w:before="4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Проект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рішення </w:t>
            </w:r>
            <w:r>
              <w:rPr>
                <w:spacing w:val="-2"/>
                <w:sz w:val="17"/>
              </w:rPr>
              <w:t>сесії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-2"/>
                <w:sz w:val="17"/>
              </w:rPr>
              <w:t> записка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2021-11-04T06:52:21Z</dcterms:created>
  <dcterms:modified xsi:type="dcterms:W3CDTF">2021-11-04T06:52:21Z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